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>
      <w:pPr>
        <w:pStyle w:val="Normal"/>
        <w:shd w:val="clear" w:fill="FFFFFF"/>
        <w:spacing w:lineRule="exact" w:line="266"/>
        <w:ind w:right="-79" w:hanging="0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о поощрении членов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Адвокатской палаты Пермского края</w:t>
      </w:r>
    </w:p>
    <w:p>
      <w:pPr>
        <w:pStyle w:val="Normal"/>
        <w:ind w:hanging="0"/>
        <w:jc w:val="center"/>
        <w:rPr>
          <w:rFonts w:ascii="Times New Roman" w:hAnsi="Times New Roman"/>
          <w:b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r>
    </w:p>
    <w:p>
      <w:pPr>
        <w:pStyle w:val="Normal"/>
        <w:ind w:hanging="0"/>
        <w:jc w:val="center"/>
        <w:rPr>
          <w:rFonts w:ascii="Times New Roman" w:hAnsi="Times New Roman"/>
          <w:b w:val="false"/>
          <w:b w:val="false"/>
          <w:bCs w:val="false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b w:val="false"/>
          <w:bCs w:val="false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b w:val="false"/>
          <w:bCs w:val="false"/>
          <w:color w:val="000000"/>
          <w:spacing w:val="-1"/>
          <w:sz w:val="24"/>
          <w:szCs w:val="24"/>
        </w:rPr>
        <w:t>тверждено</w:t>
      </w:r>
      <w:r>
        <w:rPr>
          <w:rFonts w:ascii="Times New Roman" w:hAnsi="Times New Roman"/>
          <w:b w:val="false"/>
          <w:bCs w:val="false"/>
          <w:color w:val="000000"/>
          <w:spacing w:val="-1"/>
          <w:sz w:val="24"/>
          <w:szCs w:val="24"/>
        </w:rPr>
        <w:t>: конференцией АППК 16.02.2019</w:t>
      </w:r>
      <w:r>
        <w:rPr>
          <w:rFonts w:ascii="Times New Roman" w:hAnsi="Times New Roman"/>
          <w:b w:val="false"/>
          <w:bCs w:val="false"/>
          <w:color w:val="000000"/>
          <w:spacing w:val="-1"/>
          <w:sz w:val="24"/>
          <w:szCs w:val="24"/>
        </w:rPr>
        <w:t>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Задачи и цели системы поощрений и профессиональных отличий</w:t>
      </w:r>
    </w:p>
    <w:p>
      <w:pPr>
        <w:pStyle w:val="Normal"/>
        <w:ind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разработано в соответствие с пп.11 п.2 ст.30 Закона РФ «Об адвокатской деятельности и адвокатуре в российской Федерации» и положениями Кодекса профессиональной этики.</w:t>
      </w:r>
    </w:p>
    <w:p>
      <w:pPr>
        <w:pStyle w:val="Normal"/>
        <w:ind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применения настоящего Положения является повышение профессионального и этического уровня адвокатов, выявление и поощрение адвокатов, способных стать образцом в выполнении своих профессиональных обязанностей, примером для подражания молодым адвокатам.</w:t>
      </w:r>
    </w:p>
    <w:p>
      <w:pPr>
        <w:pStyle w:val="Normal"/>
        <w:ind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лучших адвокатов, публичное признание их заслуг является одним из способов повышения и престижа профессии и общего уровня  адвокатского сообщества Пермского края.</w:t>
      </w:r>
    </w:p>
    <w:p>
      <w:pPr>
        <w:pStyle w:val="Normal"/>
        <w:ind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настоящего Положения является задача учесть все многообразие, как профессиональных склонностей отдельных адвокатов, так и различие в стаже работы, профессиональном опыте.</w:t>
      </w:r>
    </w:p>
    <w:p>
      <w:pPr>
        <w:pStyle w:val="Normal"/>
        <w:ind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Адвокатская палата считает своим долгом отмечать как заслуги молодых, талантливых адвокатов, так и опытных. Заслуженным уважением должны пользоваться и ветераны.</w:t>
      </w:r>
    </w:p>
    <w:p>
      <w:pPr>
        <w:pStyle w:val="Normal"/>
        <w:ind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Адвокатская палата с уважением относится к научной, общественной и иной творческой работе своих членов, которая совпадает с целями и задачами адвокатуры, способствует укреплению ее авторитета.</w:t>
      </w:r>
    </w:p>
    <w:p>
      <w:pPr>
        <w:pStyle w:val="Normal"/>
        <w:ind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мер поощрения и профессиональных отличий должно носить, как правило, публичный, открытый характер, способствовать созданию личной репутации адвоката и повышению его авторитета.</w:t>
      </w:r>
    </w:p>
    <w:p>
      <w:pPr>
        <w:pStyle w:val="Normal"/>
        <w:ind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ставит своей задачей также поддержание корпоративного духа, взаимное информирование членов адвокатской палаты о профессиональных успехах и достижениях адвокатов.</w:t>
      </w:r>
    </w:p>
    <w:p>
      <w:pPr>
        <w:pStyle w:val="Style22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ind w:left="0" w:hanging="0"/>
        <w:jc w:val="center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1.Процедура применения мер поощрения и профессиональных отличий</w:t>
      </w:r>
    </w:p>
    <w:p>
      <w:pPr>
        <w:pStyle w:val="Style22"/>
        <w:ind w:left="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1.1.Правом внесения в адвокатскую палату представлений о применении мер поощрения обладают: президент адвокатской палаты, вице-президенты, члены Совета адвокатской палаты, руководители адвокатских образований, отдельные адвокаты.</w:t>
      </w:r>
    </w:p>
    <w:p>
      <w:pPr>
        <w:pStyle w:val="Style22"/>
        <w:ind w:left="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1.2.Поступившие представления передаются для рассмотрения в Комиссию по поощрениям, награждениям (далее Комиссия) для дачи заключения с последующей передачей материалов в Совет адвокатской палаты для утверждения.</w:t>
      </w:r>
    </w:p>
    <w:p>
      <w:pPr>
        <w:pStyle w:val="Style22"/>
        <w:ind w:left="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1.3.Поводом для применения мер поощрения могут быть высокие профессиональные достижения адвоката (группы адвокатов) по конкретному делу, выполнение общеполезной в масштабах адвокатской палаты (адвокатского образования) работы, достижение высоких результатов в научной, общественной или творческой деятельности.</w:t>
      </w:r>
    </w:p>
    <w:p>
      <w:pPr>
        <w:pStyle w:val="Style22"/>
        <w:ind w:left="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1.4.К представлению о применении мер поощрения прилагаются документы, справки и т.д., подтверждающие обстоятельства, указанные в пункте 1.3. настоящего Положения.</w:t>
      </w:r>
    </w:p>
    <w:p>
      <w:pPr>
        <w:pStyle w:val="Style22"/>
        <w:ind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1.5.Безусловным основанием для применения мер поощрения является оправдательный приговор, вступивший в законную силу, в постановлении которого в качестве защитника принимал участие тот или иной адвокат.</w:t>
      </w:r>
    </w:p>
    <w:p>
      <w:pPr>
        <w:pStyle w:val="Style22"/>
        <w:ind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1.6.Поводом для применения мер поощрения может быть и информация, полученная из других источников.</w:t>
      </w:r>
    </w:p>
    <w:p>
      <w:pPr>
        <w:pStyle w:val="Style22"/>
        <w:ind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1.7.Решение Совета адвокатской палаты о применении мер поощрения доводится как до самого адвоката, так и до адвокатского образования, где он осуществляет свою деятельность.</w:t>
      </w:r>
    </w:p>
    <w:p>
      <w:pPr>
        <w:pStyle w:val="Style22"/>
        <w:ind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Данное решение также размещается на сайте адвокатской палаты Пермского края.</w:t>
      </w:r>
    </w:p>
    <w:p>
      <w:pPr>
        <w:pStyle w:val="Style22"/>
        <w:ind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1.8.Оформление поздравительных форм в связи с личными юбилеями адвокатов осуществляется президентом или одним из вице-президентов адвокатской палаты в связи с наступлением тех или иных событий. Непосредственное их вручение может быть поручено руководителям адвокатских образований, в которых работает данный адвокат.</w:t>
      </w:r>
    </w:p>
    <w:p>
      <w:pPr>
        <w:pStyle w:val="Style22"/>
        <w:ind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1.9.Решения о применении мер профессиональных отличий принимается Советом адвокатской палаты по результатам рассмотрения материалов Комиссии.</w:t>
      </w:r>
    </w:p>
    <w:p>
      <w:pPr>
        <w:pStyle w:val="Style22"/>
        <w:ind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Решения об условиях и сроках проведения мероприятий по поощрению наиболее отличившихся адвокатов принимаются Советом адвокатской палаты с указанием критериев отбора соискателей, возрастных или иных особенностей.</w:t>
      </w:r>
    </w:p>
    <w:p>
      <w:pPr>
        <w:pStyle w:val="Style22"/>
        <w:ind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Правом выдвижения кандидатур наделяются те же лица, которые указаны в пункте 1.1. настоящего Положения.</w:t>
      </w:r>
    </w:p>
    <w:p>
      <w:pPr>
        <w:pStyle w:val="Style22"/>
        <w:ind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1.10.Подведение итогов и принятие решений о присуждении профессиональных отличий в той или иной номинации производится Советом адвокатской палаты.</w:t>
      </w:r>
    </w:p>
    <w:p>
      <w:pPr>
        <w:pStyle w:val="Style22"/>
        <w:ind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Как правило, вручение профессиональных отличий осуществляется публично, в торжественной обстановке руководством Адвокатской палаты Пермского края.</w:t>
      </w:r>
    </w:p>
    <w:p>
      <w:pPr>
        <w:pStyle w:val="Style22"/>
        <w:ind w:hanging="0"/>
        <w:jc w:val="left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</w:r>
    </w:p>
    <w:p>
      <w:pPr>
        <w:pStyle w:val="Style22"/>
        <w:ind w:left="0" w:hanging="0"/>
        <w:jc w:val="center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2. Меры поощрения адвокатов</w:t>
      </w:r>
    </w:p>
    <w:p>
      <w:pPr>
        <w:pStyle w:val="Style22"/>
        <w:ind w:left="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2.1.Адвокатская Палата устанавливает следующие меры поощрения адвокатов:</w:t>
      </w:r>
    </w:p>
    <w:p>
      <w:pPr>
        <w:pStyle w:val="Style22"/>
        <w:ind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- Благодарность Адвокатской палаты Пермского края;</w:t>
      </w:r>
    </w:p>
    <w:p>
      <w:pPr>
        <w:pStyle w:val="Style22"/>
        <w:ind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- награждение Почетной грамотой Адвокатской палаты Пермского края;</w:t>
      </w:r>
    </w:p>
    <w:p>
      <w:pPr>
        <w:pStyle w:val="Style22"/>
        <w:ind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- награждение Почетным дипломом Адвокатской палаты Пермского края;</w:t>
      </w:r>
    </w:p>
    <w:p>
      <w:pPr>
        <w:pStyle w:val="Style22"/>
        <w:ind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- награждение Памятным знаком «Почетный адвокат Адвокатской палаты Пермского края»;</w:t>
      </w:r>
    </w:p>
    <w:p>
      <w:pPr>
        <w:pStyle w:val="Style22"/>
        <w:ind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- занесение сведений об адвокате в Книгу почета Пермской адвокатуры;</w:t>
      </w:r>
    </w:p>
    <w:p>
      <w:pPr>
        <w:pStyle w:val="Style22"/>
        <w:ind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- выдача денежной премии или награждение ценным подарком;</w:t>
      </w:r>
    </w:p>
    <w:p>
      <w:pPr>
        <w:pStyle w:val="Style22"/>
        <w:ind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- представление адвоката к государственной награде, награде ФПА РФ.</w:t>
      </w:r>
    </w:p>
    <w:p>
      <w:pPr>
        <w:pStyle w:val="Style22"/>
        <w:ind w:firstLine="567"/>
        <w:jc w:val="both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</w:r>
    </w:p>
    <w:p>
      <w:pPr>
        <w:pStyle w:val="Style22"/>
        <w:ind w:left="0" w:hanging="0"/>
        <w:jc w:val="center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3. Меры профессиональных отличий адвокатов</w:t>
      </w:r>
    </w:p>
    <w:p>
      <w:pPr>
        <w:pStyle w:val="Style22"/>
        <w:ind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Устанавливая меры профессиональных отличий, Адвокатская палата Пермского края исходит из того, что она объединяет в своих рядах адвокатов разного возраста, профессионального опыта, имеющих разный стаж работы, специализирующихся на различных направлениях адвокатской деятельности.</w:t>
      </w:r>
    </w:p>
    <w:p>
      <w:pPr>
        <w:pStyle w:val="Style22"/>
        <w:ind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При этом профессиональные усилия и достижения каждого адвоката одинаково достойны внимания и поощрения, независимо от его специализации.</w:t>
      </w:r>
    </w:p>
    <w:p>
      <w:pPr>
        <w:pStyle w:val="Style22"/>
        <w:ind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Задачей работы по присуждению профессиональных отличий является как поиск и поддержка молодых талантливых адвокатов, так и выявление лучших специалистов по тем или иным направлениям, укрепление репутации и авторитета таких адвокатов, повышение общего профессионального и нравственного уровня адвокатуры.</w:t>
      </w:r>
    </w:p>
    <w:p>
      <w:pPr>
        <w:pStyle w:val="Style22"/>
        <w:ind w:left="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3.1.Адвокатская палата Пермского края устанавливает следующие ежегодно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sz w:val="24"/>
          <w:szCs w:val="24"/>
        </w:rPr>
        <w:t>присуждаемые виды профессиональных отличий:</w:t>
      </w:r>
    </w:p>
    <w:p>
      <w:pPr>
        <w:pStyle w:val="Style22"/>
        <w:numPr>
          <w:ilvl w:val="0"/>
          <w:numId w:val="0"/>
        </w:numPr>
        <w:ind w:left="1080" w:hanging="0"/>
        <w:jc w:val="both"/>
        <w:rPr>
          <w:b w:val="false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4"/>
          <w:szCs w:val="24"/>
        </w:rPr>
        <w:t>- «За успешный дебют в адвокатуре»</w:t>
      </w:r>
    </w:p>
    <w:p>
      <w:pPr>
        <w:pStyle w:val="Style22"/>
        <w:ind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Данный вид профессионального отличия присуждается адвокатам в возрасте до 35 лет, имеющим стаж работы до трех лет.</w:t>
      </w:r>
    </w:p>
    <w:p>
      <w:pPr>
        <w:pStyle w:val="Style22"/>
        <w:numPr>
          <w:ilvl w:val="0"/>
          <w:numId w:val="0"/>
        </w:numPr>
        <w:ind w:left="1080" w:hanging="0"/>
        <w:jc w:val="both"/>
        <w:rPr>
          <w:b w:val="false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4"/>
          <w:szCs w:val="24"/>
        </w:rPr>
        <w:t>- «За успехи достигнутые адвокатом в …»:</w:t>
      </w:r>
    </w:p>
    <w:p>
      <w:pPr>
        <w:pStyle w:val="Style22"/>
        <w:ind w:left="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1.Уголовном праве;</w:t>
      </w:r>
    </w:p>
    <w:p>
      <w:pPr>
        <w:pStyle w:val="Style22"/>
        <w:ind w:left="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2.Гражданском праве.</w:t>
      </w:r>
    </w:p>
    <w:p>
      <w:pPr>
        <w:pStyle w:val="Style22"/>
        <w:ind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Перечень специальных направлений может быть дополнен и расширен Советом адвокатской палаты.</w:t>
      </w:r>
    </w:p>
    <w:p>
      <w:pPr>
        <w:pStyle w:val="Style22"/>
        <w:ind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3.2.В целях поощрения коллективных форм работы учреждается номинация «Лучшее адвокатское образование (адвокатская консультация)»</w:t>
      </w:r>
    </w:p>
    <w:p>
      <w:pPr>
        <w:pStyle w:val="Style22"/>
        <w:tabs>
          <w:tab w:val="clear" w:pos="708"/>
          <w:tab w:val="left" w:pos="1134" w:leader="none"/>
        </w:tabs>
        <w:ind w:left="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3.3.Адвокатская палата Пермского края ежегодно присваивает одному из своих членов, добившемуся исключительно высоких результатов в своей профессиональной деятельности, звание «Адвокат года» с вручением нагрудного знака, диплома и денежной премии.</w:t>
      </w:r>
    </w:p>
    <w:p>
      <w:pPr>
        <w:pStyle w:val="Style22"/>
        <w:ind w:firstLine="567"/>
        <w:jc w:val="left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</w:r>
    </w:p>
    <w:p>
      <w:pPr>
        <w:pStyle w:val="Style22"/>
        <w:ind w:hanging="0"/>
        <w:jc w:val="center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4. Меры профессиональных отличий, направленные на сохранение традиций пермской и российской адвокатуры</w:t>
      </w:r>
    </w:p>
    <w:p>
      <w:pPr>
        <w:pStyle w:val="Style22"/>
        <w:ind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Исходя из положений статьи 1 Кодекса профессиональной этики о том, что адвокатская деятельность осуществляется на основе нравственных критериев и традиций адвокатуры, Адвокатская палата Пермского края считает своим нравственным долгом поддержание этих традиций.</w:t>
      </w:r>
    </w:p>
    <w:p>
      <w:pPr>
        <w:pStyle w:val="Style22"/>
        <w:ind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4.1.Особого уважения заслуживает достойное выполнение адвокатского долга несколькими поколениями одной и той же семьи.</w:t>
      </w:r>
    </w:p>
    <w:p>
      <w:pPr>
        <w:pStyle w:val="Style22"/>
        <w:ind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В связи с вышеизложенным учреждается номинация «За высокопрофессиональную деятельность семьи адвокатов».</w:t>
      </w:r>
    </w:p>
    <w:p>
      <w:pPr>
        <w:pStyle w:val="Style22"/>
        <w:ind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4.2.Адвокатская палата Пермского края считает своей задачей способствовать формированию ярких индивидуальностей, личностей в адвокатуре, поддержание высокого нравственного уровня среди пермских адвокатов.</w:t>
      </w:r>
    </w:p>
    <w:p>
      <w:pPr>
        <w:pStyle w:val="Style22"/>
        <w:ind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В связи с вышеизложенным учреждается номинация «За репутацию в пермской адвокатуре».</w:t>
      </w:r>
    </w:p>
    <w:p>
      <w:pPr>
        <w:pStyle w:val="Style22"/>
        <w:ind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4.3.Также высокой оценки заслуживает многолетний (как правило, более 40 лет) адвокатский труд, результатом которого были как высокие профессиональные достижения, так и завоевание высокого личного авторитета в адвокатском сообществе.</w:t>
      </w:r>
    </w:p>
    <w:p>
      <w:pPr>
        <w:pStyle w:val="Style22"/>
        <w:ind w:hanging="0"/>
        <w:jc w:val="left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</w:r>
    </w:p>
    <w:p>
      <w:pPr>
        <w:pStyle w:val="Style22"/>
        <w:tabs>
          <w:tab w:val="clear" w:pos="708"/>
          <w:tab w:val="left" w:pos="993" w:leader="none"/>
        </w:tabs>
        <w:ind w:hanging="0"/>
        <w:jc w:val="center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5. Юбилейные формы</w:t>
      </w:r>
    </w:p>
    <w:p>
      <w:pPr>
        <w:pStyle w:val="Style22"/>
        <w:ind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Исходя из принципа корпоративности адвокатского сообщества, Адвокатская палата Пермского края считает, что наступление тех или иных личных событий в жизни адвоката является также важным событием и в общественной жизни адвокатского сообщества.</w:t>
      </w:r>
    </w:p>
    <w:p>
      <w:pPr>
        <w:pStyle w:val="Style22"/>
        <w:ind w:left="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5.1.Решение о вручении той или иной юбилейной формы принимает президент Адвокатской палаты Пермского края в связи с наступлением соответствующего юбилейного события в личной или профессиональной жизни адвоката.</w:t>
      </w:r>
    </w:p>
    <w:p>
      <w:pPr>
        <w:pStyle w:val="Style22"/>
        <w:ind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Непосредственное ее вручение может быть поручено руководителю адвокатского образования (адвокатского подразделения), где работает данный адвокат.</w:t>
      </w:r>
    </w:p>
    <w:p>
      <w:pPr>
        <w:pStyle w:val="Style22"/>
        <w:ind w:left="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5.2.Основанием для вручения юбилейных форм, как правило, должны быть следующие события:</w:t>
      </w:r>
    </w:p>
    <w:p>
      <w:pPr>
        <w:pStyle w:val="Style22"/>
        <w:numPr>
          <w:ilvl w:val="0"/>
          <w:numId w:val="0"/>
        </w:numPr>
        <w:ind w:left="108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- 50-летний юбилей;</w:t>
      </w:r>
    </w:p>
    <w:p>
      <w:pPr>
        <w:pStyle w:val="Style22"/>
        <w:numPr>
          <w:ilvl w:val="0"/>
          <w:numId w:val="0"/>
        </w:numPr>
        <w:ind w:left="108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- 60-летний юбилей;</w:t>
      </w:r>
    </w:p>
    <w:p>
      <w:pPr>
        <w:pStyle w:val="Style22"/>
        <w:numPr>
          <w:ilvl w:val="0"/>
          <w:numId w:val="0"/>
        </w:numPr>
        <w:ind w:left="108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- 70-летний юбилей;</w:t>
      </w:r>
    </w:p>
    <w:p>
      <w:pPr>
        <w:pStyle w:val="Style22"/>
        <w:numPr>
          <w:ilvl w:val="0"/>
          <w:numId w:val="0"/>
        </w:numPr>
        <w:ind w:left="108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- 80-летний юбилей;</w:t>
      </w:r>
    </w:p>
    <w:p>
      <w:pPr>
        <w:pStyle w:val="Style22"/>
        <w:numPr>
          <w:ilvl w:val="0"/>
          <w:numId w:val="0"/>
        </w:numPr>
        <w:ind w:left="108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- 85-летний юбилей.</w:t>
      </w:r>
    </w:p>
    <w:p>
      <w:pPr>
        <w:pStyle w:val="Style22"/>
        <w:ind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По стажу адвокатской деятельности:</w:t>
      </w:r>
    </w:p>
    <w:p>
      <w:pPr>
        <w:pStyle w:val="Style22"/>
        <w:numPr>
          <w:ilvl w:val="0"/>
          <w:numId w:val="0"/>
        </w:numPr>
        <w:ind w:left="108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  <w:lang w:val="en-US"/>
        </w:rPr>
        <w:t xml:space="preserve">- 30-летний </w:t>
      </w:r>
      <w:r>
        <w:rPr>
          <w:rFonts w:ascii="Times New Roman" w:hAnsi="Times New Roman"/>
          <w:b w:val="false"/>
          <w:sz w:val="24"/>
          <w:szCs w:val="24"/>
        </w:rPr>
        <w:t>юбилей работы адвокатом;</w:t>
      </w:r>
    </w:p>
    <w:p>
      <w:pPr>
        <w:pStyle w:val="Style22"/>
        <w:numPr>
          <w:ilvl w:val="0"/>
          <w:numId w:val="0"/>
        </w:numPr>
        <w:ind w:left="108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- 40-летний юбилей работы адвокатом;</w:t>
      </w:r>
    </w:p>
    <w:p>
      <w:pPr>
        <w:pStyle w:val="Style22"/>
        <w:numPr>
          <w:ilvl w:val="0"/>
          <w:numId w:val="0"/>
        </w:numPr>
        <w:ind w:left="108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- 50-летний юбилей работы адвокатом;</w:t>
      </w:r>
    </w:p>
    <w:p>
      <w:pPr>
        <w:pStyle w:val="Style22"/>
        <w:numPr>
          <w:ilvl w:val="0"/>
          <w:numId w:val="0"/>
        </w:numPr>
        <w:ind w:left="108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- 60-летний юбилей работы адвокатом.</w:t>
      </w:r>
    </w:p>
    <w:p>
      <w:pPr>
        <w:pStyle w:val="Style22"/>
        <w:ind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С учетом индивидуальных обстоятельств президентом адвокатской палаты могут быть приняты и иные решения.</w:t>
      </w:r>
    </w:p>
    <w:p>
      <w:pPr>
        <w:pStyle w:val="Style22"/>
        <w:ind w:firstLine="567"/>
        <w:jc w:val="left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6. Меры поощрения за заслуги в научной, педагогической, общественной и иной творческой деятельности</w:t>
      </w:r>
    </w:p>
    <w:p>
      <w:pPr>
        <w:pStyle w:val="Normal"/>
        <w:ind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Адвокатская палата Пермского края с уважением относится к научной, педагогической, литературной и иной творческой деятельности своих членов.</w:t>
      </w:r>
    </w:p>
    <w:p>
      <w:pPr>
        <w:pStyle w:val="Normal"/>
        <w:tabs>
          <w:tab w:val="clear" w:pos="708"/>
          <w:tab w:val="left" w:pos="993" w:leader="none"/>
        </w:tabs>
        <w:ind w:left="0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6.1.За успехи и достижения в научной, педагогической, общественной и иной творческой деятельности, соответствующей целям и принципам, установленным Законом РФ «Об адвокатской деятельности и адвокатуре в Российской Федерации» и Кодексом профессиональной этики адвоката адвокатская палата применяет меры поощрения, установленные разделом 2 Настоящего Положения.</w:t>
      </w:r>
    </w:p>
    <w:p>
      <w:pPr>
        <w:pStyle w:val="Normal"/>
        <w:ind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7. Представление к награждению адвокатов иными органами</w:t>
      </w:r>
    </w:p>
    <w:p>
      <w:pPr>
        <w:pStyle w:val="Normal"/>
        <w:ind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Адвокатской палаты Пермского края, учитывая особые заслуги адвоката при исполнении им своего профессионального долга или особых заслуг перед адвокатским сообществом, вправе внести представление о применении мер поощрения, как Федеральной адвокатской палатой, так и иными органами власти и управления.</w:t>
      </w:r>
    </w:p>
    <w:p>
      <w:pPr>
        <w:pStyle w:val="Normal"/>
        <w:ind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таком же порядке вносятся представления о награждении наиболее отличившихся адвокатов государственными наградами и почетными званиями Российской Федерации.</w:t>
      </w:r>
    </w:p>
    <w:p>
      <w:pPr>
        <w:pStyle w:val="Normal"/>
        <w:ind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Совета Адвокатской палаты Пермского края выполнение этих функций может быть передано президенту Адвокатской Палаты.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fill="FFFFFF"/>
        <w:spacing w:lineRule="exact" w:line="266"/>
        <w:ind w:right="-7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 момента принятия конференцией АППК настоящего Положения</w:t>
      </w:r>
      <w:r>
        <w:rPr>
          <w:rFonts w:ascii="Times New Roman" w:hAnsi="Times New Roman"/>
          <w:b/>
          <w:sz w:val="24"/>
          <w:szCs w:val="24"/>
        </w:rPr>
        <w:t xml:space="preserve"> Положение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о поощрении и дисциплинарной ответственности членов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АППК от 31.05.2007 утрачивает силу.</w:t>
      </w:r>
    </w:p>
    <w:sectPr>
      <w:type w:val="nextPage"/>
      <w:pgSz w:w="12240" w:h="15840"/>
      <w:pgMar w:left="1425" w:right="840" w:header="720" w:top="568" w:footer="72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ind w:left="720" w:hanging="0"/>
      <w:outlineLvl w:val="1"/>
    </w:pPr>
    <w:rPr>
      <w:szCs w:val="20"/>
    </w:rPr>
  </w:style>
  <w:style w:type="character" w:styleId="WW8Num1z0">
    <w:name w:val="WW8Num1z0"/>
    <w:qFormat/>
    <w:rPr>
      <w:sz w:val="22"/>
      <w:szCs w:val="22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>
      <w:b w:val="false"/>
      <w:sz w:val="22"/>
      <w:szCs w:val="22"/>
    </w:rPr>
  </w:style>
  <w:style w:type="character" w:styleId="WW8Num7z0">
    <w:name w:val="WW8Num7z0"/>
    <w:qFormat/>
    <w:rPr>
      <w:rFonts w:ascii="Symbol" w:hAnsi="Symbol" w:cs="Symbol"/>
      <w:color w:val="00000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  <w:color w:val="000000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  <w:color w:val="000000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b w:val="false"/>
      <w:sz w:val="22"/>
      <w:szCs w:val="22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b/>
      <w:szCs w:val="24"/>
    </w:rPr>
  </w:style>
  <w:style w:type="character" w:styleId="WW8Num12z1">
    <w:name w:val="WW8Num12z1"/>
    <w:qFormat/>
    <w:rPr>
      <w:b w:val="false"/>
      <w:sz w:val="22"/>
      <w:szCs w:val="24"/>
    </w:rPr>
  </w:style>
  <w:style w:type="character" w:styleId="WW8Num12z2">
    <w:name w:val="WW8Num12z2"/>
    <w:qFormat/>
    <w:rPr/>
  </w:style>
  <w:style w:type="character" w:styleId="WW8Num13z0">
    <w:name w:val="WW8Num13z0"/>
    <w:qFormat/>
    <w:rPr>
      <w:rFonts w:ascii="Symbol" w:hAnsi="Symbol" w:cs="Symbol"/>
      <w:color w:val="000000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sz w:val="22"/>
      <w:szCs w:val="22"/>
    </w:rPr>
  </w:style>
  <w:style w:type="character" w:styleId="WW8Num15z0">
    <w:name w:val="WW8Num15z0"/>
    <w:qFormat/>
    <w:rPr/>
  </w:style>
  <w:style w:type="character" w:styleId="WW8Num16z0">
    <w:name w:val="WW8Num16z0"/>
    <w:qFormat/>
    <w:rPr>
      <w:b w:val="false"/>
      <w:sz w:val="22"/>
      <w:szCs w:val="22"/>
    </w:rPr>
  </w:style>
  <w:style w:type="character" w:styleId="WW8Num17z0">
    <w:name w:val="WW8Num17z0"/>
    <w:qFormat/>
    <w:rPr>
      <w:rFonts w:ascii="Symbol" w:hAnsi="Symbol" w:cs="Symbol"/>
      <w:color w:val="000000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Style13">
    <w:name w:val="Основной шрифт абзаца"/>
    <w:qFormat/>
    <w:rPr/>
  </w:style>
  <w:style w:type="character" w:styleId="21">
    <w:name w:val="Заголовок 2 Знак"/>
    <w:qFormat/>
    <w:rPr>
      <w:sz w:val="24"/>
    </w:rPr>
  </w:style>
  <w:style w:type="character" w:styleId="Style14">
    <w:name w:val="Основной текст с отступом Знак"/>
    <w:qFormat/>
    <w:rPr>
      <w:b/>
      <w:sz w:val="24"/>
    </w:rPr>
  </w:style>
  <w:style w:type="character" w:styleId="22">
    <w:name w:val="Основной текст с отступом 2 Знак"/>
    <w:qFormat/>
    <w:rPr>
      <w:sz w:val="24"/>
    </w:rPr>
  </w:style>
  <w:style w:type="character" w:styleId="Style15">
    <w:name w:val="Основной текст Знак"/>
    <w:qFormat/>
    <w:rPr>
      <w:sz w:val="24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2"/>
      <w:szCs w:val="22"/>
    </w:rPr>
  </w:style>
  <w:style w:type="character" w:styleId="ListLabel2">
    <w:name w:val="ListLabel 2"/>
    <w:qFormat/>
    <w:rPr>
      <w:sz w:val="22"/>
      <w:szCs w:val="22"/>
    </w:rPr>
  </w:style>
  <w:style w:type="character" w:styleId="ListLabel3">
    <w:name w:val="ListLabel 3"/>
    <w:qFormat/>
    <w:rPr>
      <w:sz w:val="22"/>
      <w:szCs w:val="22"/>
    </w:rPr>
  </w:style>
  <w:style w:type="character" w:styleId="ListLabel4">
    <w:name w:val="ListLabel 4"/>
    <w:qFormat/>
    <w:rPr>
      <w:sz w:val="22"/>
      <w:szCs w:val="22"/>
    </w:rPr>
  </w:style>
  <w:style w:type="character" w:styleId="ListLabel5">
    <w:name w:val="ListLabel 5"/>
    <w:qFormat/>
    <w:rPr>
      <w:sz w:val="22"/>
      <w:szCs w:val="22"/>
    </w:rPr>
  </w:style>
  <w:style w:type="character" w:styleId="ListLabel6">
    <w:name w:val="ListLabel 6"/>
    <w:qFormat/>
    <w:rPr>
      <w:sz w:val="22"/>
      <w:szCs w:val="22"/>
    </w:rPr>
  </w:style>
  <w:style w:type="character" w:styleId="ListLabel7">
    <w:name w:val="ListLabel 7"/>
    <w:qFormat/>
    <w:rPr>
      <w:sz w:val="22"/>
      <w:szCs w:val="22"/>
    </w:rPr>
  </w:style>
  <w:style w:type="character" w:styleId="ListLabel8">
    <w:name w:val="ListLabel 8"/>
    <w:qFormat/>
    <w:rPr>
      <w:sz w:val="22"/>
      <w:szCs w:val="22"/>
    </w:rPr>
  </w:style>
  <w:style w:type="character" w:styleId="ListLabel9">
    <w:name w:val="ListLabel 9"/>
    <w:qFormat/>
    <w:rPr>
      <w:sz w:val="22"/>
      <w:szCs w:val="22"/>
    </w:rPr>
  </w:style>
  <w:style w:type="character" w:styleId="ListLabel10">
    <w:name w:val="ListLabel 10"/>
    <w:qFormat/>
    <w:rPr>
      <w:b w:val="false"/>
      <w:sz w:val="22"/>
      <w:szCs w:val="22"/>
    </w:rPr>
  </w:style>
  <w:style w:type="character" w:styleId="ListLabel11">
    <w:name w:val="ListLabel 11"/>
    <w:qFormat/>
    <w:rPr>
      <w:b w:val="false"/>
      <w:sz w:val="22"/>
      <w:szCs w:val="22"/>
    </w:rPr>
  </w:style>
  <w:style w:type="character" w:styleId="ListLabel12">
    <w:name w:val="ListLabel 12"/>
    <w:qFormat/>
    <w:rPr>
      <w:b w:val="false"/>
      <w:sz w:val="22"/>
      <w:szCs w:val="22"/>
    </w:rPr>
  </w:style>
  <w:style w:type="character" w:styleId="ListLabel13">
    <w:name w:val="ListLabel 13"/>
    <w:qFormat/>
    <w:rPr>
      <w:b w:val="false"/>
      <w:sz w:val="22"/>
      <w:szCs w:val="22"/>
    </w:rPr>
  </w:style>
  <w:style w:type="character" w:styleId="ListLabel14">
    <w:name w:val="ListLabel 14"/>
    <w:qFormat/>
    <w:rPr>
      <w:b w:val="false"/>
      <w:sz w:val="22"/>
      <w:szCs w:val="22"/>
    </w:rPr>
  </w:style>
  <w:style w:type="character" w:styleId="ListLabel15">
    <w:name w:val="ListLabel 15"/>
    <w:qFormat/>
    <w:rPr>
      <w:b w:val="false"/>
      <w:sz w:val="22"/>
      <w:szCs w:val="22"/>
    </w:rPr>
  </w:style>
  <w:style w:type="character" w:styleId="ListLabel16">
    <w:name w:val="ListLabel 16"/>
    <w:qFormat/>
    <w:rPr>
      <w:b w:val="false"/>
      <w:sz w:val="22"/>
      <w:szCs w:val="22"/>
    </w:rPr>
  </w:style>
  <w:style w:type="character" w:styleId="ListLabel17">
    <w:name w:val="ListLabel 17"/>
    <w:qFormat/>
    <w:rPr>
      <w:b w:val="false"/>
      <w:sz w:val="22"/>
      <w:szCs w:val="22"/>
    </w:rPr>
  </w:style>
  <w:style w:type="character" w:styleId="ListLabel18">
    <w:name w:val="ListLabel 18"/>
    <w:qFormat/>
    <w:rPr>
      <w:b w:val="false"/>
      <w:sz w:val="22"/>
      <w:szCs w:val="22"/>
    </w:rPr>
  </w:style>
  <w:style w:type="character" w:styleId="ListLabel19">
    <w:name w:val="ListLabel 19"/>
    <w:qFormat/>
    <w:rPr>
      <w:b w:val="false"/>
      <w:sz w:val="22"/>
      <w:szCs w:val="22"/>
    </w:rPr>
  </w:style>
  <w:style w:type="character" w:styleId="ListLabel20">
    <w:name w:val="ListLabel 20"/>
    <w:qFormat/>
    <w:rPr>
      <w:b w:val="false"/>
      <w:sz w:val="22"/>
      <w:szCs w:val="24"/>
    </w:rPr>
  </w:style>
  <w:style w:type="character" w:styleId="ListLabel21">
    <w:name w:val="ListLabel 21"/>
    <w:qFormat/>
    <w:rPr>
      <w:b w:val="false"/>
      <w:sz w:val="22"/>
      <w:szCs w:val="24"/>
    </w:rPr>
  </w:style>
  <w:style w:type="character" w:styleId="ListLabel22">
    <w:name w:val="ListLabel 22"/>
    <w:qFormat/>
    <w:rPr>
      <w:rFonts w:cs="Liberation Serif"/>
      <w:b w:val="false"/>
      <w:sz w:val="22"/>
      <w:szCs w:val="22"/>
    </w:rPr>
  </w:style>
  <w:style w:type="character" w:styleId="ListLabel23">
    <w:name w:val="ListLabel 23"/>
    <w:qFormat/>
    <w:rPr>
      <w:rFonts w:cs="Liberation Serif"/>
      <w:b w:val="false"/>
      <w:sz w:val="22"/>
    </w:rPr>
  </w:style>
  <w:style w:type="character" w:styleId="ListLabel24">
    <w:name w:val="ListLabel 24"/>
    <w:qFormat/>
    <w:rPr>
      <w:b w:val="false"/>
      <w:sz w:val="22"/>
      <w:szCs w:val="22"/>
    </w:rPr>
  </w:style>
  <w:style w:type="character" w:styleId="ListLabel25">
    <w:name w:val="ListLabel 25"/>
    <w:qFormat/>
    <w:rPr>
      <w:b w:val="false"/>
      <w:sz w:val="22"/>
      <w:szCs w:val="22"/>
    </w:rPr>
  </w:style>
  <w:style w:type="character" w:styleId="ListLabel26">
    <w:name w:val="ListLabel 26"/>
    <w:qFormat/>
    <w:rPr>
      <w:b w:val="false"/>
      <w:sz w:val="22"/>
      <w:szCs w:val="22"/>
    </w:rPr>
  </w:style>
  <w:style w:type="character" w:styleId="ListLabel27">
    <w:name w:val="ListLabel 27"/>
    <w:qFormat/>
    <w:rPr>
      <w:b w:val="false"/>
      <w:sz w:val="22"/>
      <w:szCs w:val="22"/>
    </w:rPr>
  </w:style>
  <w:style w:type="character" w:styleId="ListLabel28">
    <w:name w:val="ListLabel 28"/>
    <w:qFormat/>
    <w:rPr>
      <w:b w:val="false"/>
      <w:sz w:val="22"/>
      <w:szCs w:val="22"/>
    </w:rPr>
  </w:style>
  <w:style w:type="character" w:styleId="ListLabel29">
    <w:name w:val="ListLabel 29"/>
    <w:qFormat/>
    <w:rPr>
      <w:b w:val="false"/>
      <w:sz w:val="22"/>
      <w:szCs w:val="22"/>
    </w:rPr>
  </w:style>
  <w:style w:type="character" w:styleId="ListLabel30">
    <w:name w:val="ListLabel 30"/>
    <w:qFormat/>
    <w:rPr>
      <w:b w:val="false"/>
      <w:sz w:val="22"/>
      <w:szCs w:val="22"/>
    </w:rPr>
  </w:style>
  <w:style w:type="character" w:styleId="ListLabel31">
    <w:name w:val="ListLabel 31"/>
    <w:qFormat/>
    <w:rPr>
      <w:b w:val="false"/>
      <w:sz w:val="22"/>
      <w:szCs w:val="22"/>
    </w:rPr>
  </w:style>
  <w:style w:type="character" w:styleId="ListLabel32">
    <w:name w:val="ListLabel 32"/>
    <w:qFormat/>
    <w:rPr>
      <w:b w:val="false"/>
      <w:sz w:val="22"/>
      <w:szCs w:val="22"/>
    </w:rPr>
  </w:style>
  <w:style w:type="character" w:styleId="ListLabel33">
    <w:name w:val="ListLabel 33"/>
    <w:qFormat/>
    <w:rPr>
      <w:rFonts w:cs="Liberation Serif"/>
      <w:b w:val="false"/>
      <w:sz w:val="22"/>
      <w:szCs w:val="22"/>
    </w:rPr>
  </w:style>
  <w:style w:type="character" w:styleId="ListLabel34">
    <w:name w:val="ListLabel 34"/>
    <w:qFormat/>
    <w:rPr>
      <w:rFonts w:cs="Liberation Serif"/>
      <w:b w:val="false"/>
      <w:sz w:val="22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jc w:val="both"/>
    </w:pPr>
    <w:rPr>
      <w:szCs w:val="20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Body Text Indent"/>
    <w:basedOn w:val="Normal"/>
    <w:pPr>
      <w:ind w:firstLine="720"/>
    </w:pPr>
    <w:rPr>
      <w:b/>
      <w:szCs w:val="20"/>
    </w:rPr>
  </w:style>
  <w:style w:type="paragraph" w:styleId="23">
    <w:name w:val="Основной текст с отступом 2"/>
    <w:basedOn w:val="Normal"/>
    <w:qFormat/>
    <w:pPr>
      <w:ind w:firstLine="720"/>
    </w:pPr>
    <w:rPr>
      <w:szCs w:val="20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Application>LibreOffice/6.2.0.3$Windows_x86 LibreOffice_project/98c6a8a1c6c7b144ce3cc729e34964b47ce25d62</Application>
  <Pages>4</Pages>
  <Words>1205</Words>
  <Characters>8832</Characters>
  <CharactersWithSpaces>9958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2018-10-29T14:38:00Z</dcterms:created>
  <dc:creator>APSPb</dc:creator>
  <dc:description/>
  <dc:language>ru-RU</dc:language>
  <cp:lastModifiedBy/>
  <cp:lastPrinted>2019-02-21T14:21:00Z</cp:lastPrinted>
  <dcterms:modified xsi:type="dcterms:W3CDTF">2019-03-19T11:53:35Z</dcterms:modified>
  <cp:revision>20</cp:revision>
  <dc:subject/>
  <dc:title>1</dc:title>
</cp:coreProperties>
</file>